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bookmarkStart w:id="0" w:name="_Hlk162423286"/>
            <w:r w:rsidRPr="001A6F12">
              <w:rPr>
                <w:szCs w:val="14"/>
              </w:rPr>
              <w:t>Naše zn.</w:t>
            </w:r>
          </w:p>
        </w:tc>
        <w:tc>
          <w:tcPr>
            <w:tcW w:w="2552" w:type="dxa"/>
          </w:tcPr>
          <w:p w14:paraId="602D6E15" w14:textId="7050FE2E" w:rsidR="00F862D6" w:rsidRPr="001A6F12" w:rsidRDefault="003C3826" w:rsidP="0037111D">
            <w:pPr>
              <w:rPr>
                <w:szCs w:val="14"/>
              </w:rPr>
            </w:pPr>
            <w:r w:rsidRPr="003C3826">
              <w:rPr>
                <w:szCs w:val="14"/>
              </w:rPr>
              <w:t>3215/2024-SŽ-SSV-Ú3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bookmarkEnd w:id="0"/>
      <w:tr w:rsidR="007A47E9" w:rsidRPr="001A6F12" w14:paraId="114452B8" w14:textId="77777777" w:rsidTr="00F862D6">
        <w:tc>
          <w:tcPr>
            <w:tcW w:w="1020" w:type="dxa"/>
          </w:tcPr>
          <w:p w14:paraId="076A8D74" w14:textId="77777777" w:rsidR="007A47E9" w:rsidRPr="001A6F12" w:rsidRDefault="007A47E9" w:rsidP="007A47E9">
            <w:pPr>
              <w:rPr>
                <w:szCs w:val="14"/>
              </w:rPr>
            </w:pPr>
            <w:r w:rsidRPr="001A6F12">
              <w:rPr>
                <w:szCs w:val="14"/>
              </w:rPr>
              <w:t>Listů/příloh</w:t>
            </w:r>
          </w:p>
        </w:tc>
        <w:tc>
          <w:tcPr>
            <w:tcW w:w="2552" w:type="dxa"/>
          </w:tcPr>
          <w:p w14:paraId="1DC15FA1" w14:textId="1E1F3CB5" w:rsidR="007A47E9" w:rsidRPr="001A6F12" w:rsidRDefault="007A47E9" w:rsidP="007A47E9">
            <w:pPr>
              <w:rPr>
                <w:szCs w:val="14"/>
              </w:rPr>
            </w:pPr>
            <w:r w:rsidRPr="00952D00">
              <w:rPr>
                <w:szCs w:val="14"/>
              </w:rPr>
              <w:t>21/5</w:t>
            </w:r>
          </w:p>
        </w:tc>
        <w:tc>
          <w:tcPr>
            <w:tcW w:w="823" w:type="dxa"/>
          </w:tcPr>
          <w:p w14:paraId="1E7E57B7" w14:textId="77777777" w:rsidR="007A47E9" w:rsidRPr="001A6F12" w:rsidRDefault="007A47E9" w:rsidP="007A47E9">
            <w:pPr>
              <w:rPr>
                <w:szCs w:val="14"/>
              </w:rPr>
            </w:pPr>
          </w:p>
        </w:tc>
        <w:tc>
          <w:tcPr>
            <w:tcW w:w="3685" w:type="dxa"/>
            <w:vMerge/>
          </w:tcPr>
          <w:p w14:paraId="6FF7D21B" w14:textId="77777777" w:rsidR="007A47E9" w:rsidRPr="001A6F12" w:rsidRDefault="007A47E9" w:rsidP="007A47E9">
            <w:pPr>
              <w:rPr>
                <w:noProof/>
                <w:szCs w:val="14"/>
              </w:rPr>
            </w:pPr>
          </w:p>
        </w:tc>
      </w:tr>
      <w:tr w:rsidR="007A47E9" w:rsidRPr="001A6F12" w14:paraId="56E12144" w14:textId="77777777" w:rsidTr="00B23CA3">
        <w:trPr>
          <w:trHeight w:val="77"/>
        </w:trPr>
        <w:tc>
          <w:tcPr>
            <w:tcW w:w="1020" w:type="dxa"/>
          </w:tcPr>
          <w:p w14:paraId="05260888" w14:textId="77777777" w:rsidR="007A47E9" w:rsidRPr="001A6F12" w:rsidRDefault="007A47E9" w:rsidP="007A47E9">
            <w:pPr>
              <w:rPr>
                <w:szCs w:val="14"/>
              </w:rPr>
            </w:pPr>
          </w:p>
        </w:tc>
        <w:tc>
          <w:tcPr>
            <w:tcW w:w="2552" w:type="dxa"/>
          </w:tcPr>
          <w:p w14:paraId="1F21F8EA" w14:textId="77777777" w:rsidR="007A47E9" w:rsidRPr="001A6F12" w:rsidRDefault="007A47E9" w:rsidP="007A47E9">
            <w:pPr>
              <w:rPr>
                <w:szCs w:val="14"/>
              </w:rPr>
            </w:pPr>
          </w:p>
        </w:tc>
        <w:tc>
          <w:tcPr>
            <w:tcW w:w="823" w:type="dxa"/>
          </w:tcPr>
          <w:p w14:paraId="7556E2A0" w14:textId="77777777" w:rsidR="007A47E9" w:rsidRPr="001A6F12" w:rsidRDefault="007A47E9" w:rsidP="007A47E9">
            <w:pPr>
              <w:rPr>
                <w:szCs w:val="14"/>
              </w:rPr>
            </w:pPr>
          </w:p>
        </w:tc>
        <w:tc>
          <w:tcPr>
            <w:tcW w:w="3685" w:type="dxa"/>
            <w:vMerge/>
          </w:tcPr>
          <w:p w14:paraId="2141081E" w14:textId="77777777" w:rsidR="007A47E9" w:rsidRPr="001A6F12" w:rsidRDefault="007A47E9" w:rsidP="007A47E9">
            <w:pPr>
              <w:rPr>
                <w:szCs w:val="14"/>
              </w:rPr>
            </w:pPr>
          </w:p>
        </w:tc>
      </w:tr>
      <w:tr w:rsidR="007A47E9" w:rsidRPr="001A6F12" w14:paraId="6D1FEB45" w14:textId="77777777" w:rsidTr="00F862D6">
        <w:tc>
          <w:tcPr>
            <w:tcW w:w="1020" w:type="dxa"/>
          </w:tcPr>
          <w:p w14:paraId="15C61AA7" w14:textId="77777777" w:rsidR="007A47E9" w:rsidRPr="001A6F12" w:rsidRDefault="007A47E9" w:rsidP="007A47E9">
            <w:pPr>
              <w:rPr>
                <w:szCs w:val="14"/>
              </w:rPr>
            </w:pPr>
            <w:r w:rsidRPr="001A6F12">
              <w:rPr>
                <w:szCs w:val="14"/>
              </w:rPr>
              <w:t>Vyřizuje</w:t>
            </w:r>
          </w:p>
        </w:tc>
        <w:tc>
          <w:tcPr>
            <w:tcW w:w="2552" w:type="dxa"/>
          </w:tcPr>
          <w:p w14:paraId="6BF93030" w14:textId="2F68A321" w:rsidR="007A47E9" w:rsidRPr="001A6F12" w:rsidRDefault="007A47E9" w:rsidP="007A47E9">
            <w:pPr>
              <w:rPr>
                <w:szCs w:val="14"/>
              </w:rPr>
            </w:pPr>
            <w:r w:rsidRPr="006F7BE2">
              <w:t>Ing. Radomíra Rečková</w:t>
            </w:r>
          </w:p>
        </w:tc>
        <w:tc>
          <w:tcPr>
            <w:tcW w:w="823" w:type="dxa"/>
          </w:tcPr>
          <w:p w14:paraId="51BA9221" w14:textId="77777777" w:rsidR="007A47E9" w:rsidRPr="001A6F12" w:rsidRDefault="007A47E9" w:rsidP="007A47E9">
            <w:pPr>
              <w:rPr>
                <w:szCs w:val="14"/>
              </w:rPr>
            </w:pPr>
          </w:p>
        </w:tc>
        <w:tc>
          <w:tcPr>
            <w:tcW w:w="3685" w:type="dxa"/>
            <w:vMerge/>
          </w:tcPr>
          <w:p w14:paraId="7D84DD04" w14:textId="77777777" w:rsidR="007A47E9" w:rsidRPr="001A6F12" w:rsidRDefault="007A47E9" w:rsidP="007A47E9">
            <w:pPr>
              <w:rPr>
                <w:szCs w:val="14"/>
              </w:rPr>
            </w:pPr>
          </w:p>
        </w:tc>
      </w:tr>
      <w:tr w:rsidR="007A47E9" w:rsidRPr="001A6F12" w14:paraId="094B817B" w14:textId="77777777" w:rsidTr="00F862D6">
        <w:tc>
          <w:tcPr>
            <w:tcW w:w="1020" w:type="dxa"/>
          </w:tcPr>
          <w:p w14:paraId="7C91A9FA" w14:textId="77777777" w:rsidR="007A47E9" w:rsidRPr="001A6F12" w:rsidRDefault="007A47E9" w:rsidP="007A47E9">
            <w:pPr>
              <w:rPr>
                <w:szCs w:val="14"/>
              </w:rPr>
            </w:pPr>
          </w:p>
        </w:tc>
        <w:tc>
          <w:tcPr>
            <w:tcW w:w="2552" w:type="dxa"/>
          </w:tcPr>
          <w:p w14:paraId="7B32DC05" w14:textId="77777777" w:rsidR="007A47E9" w:rsidRPr="001A6F12" w:rsidRDefault="007A47E9" w:rsidP="007A47E9">
            <w:pPr>
              <w:rPr>
                <w:szCs w:val="14"/>
              </w:rPr>
            </w:pPr>
          </w:p>
        </w:tc>
        <w:tc>
          <w:tcPr>
            <w:tcW w:w="823" w:type="dxa"/>
          </w:tcPr>
          <w:p w14:paraId="692FA3ED" w14:textId="77777777" w:rsidR="007A47E9" w:rsidRPr="001A6F12" w:rsidRDefault="007A47E9" w:rsidP="007A47E9">
            <w:pPr>
              <w:rPr>
                <w:szCs w:val="14"/>
              </w:rPr>
            </w:pPr>
          </w:p>
        </w:tc>
        <w:tc>
          <w:tcPr>
            <w:tcW w:w="3685" w:type="dxa"/>
            <w:vMerge/>
          </w:tcPr>
          <w:p w14:paraId="63B09B87" w14:textId="77777777" w:rsidR="007A47E9" w:rsidRPr="001A6F12" w:rsidRDefault="007A47E9" w:rsidP="007A47E9">
            <w:pPr>
              <w:rPr>
                <w:szCs w:val="14"/>
              </w:rPr>
            </w:pPr>
          </w:p>
        </w:tc>
      </w:tr>
      <w:tr w:rsidR="007A47E9" w:rsidRPr="001A6F12" w14:paraId="50E6A16D" w14:textId="77777777" w:rsidTr="00F862D6">
        <w:tc>
          <w:tcPr>
            <w:tcW w:w="1020" w:type="dxa"/>
          </w:tcPr>
          <w:p w14:paraId="30B313B1" w14:textId="77777777" w:rsidR="007A47E9" w:rsidRPr="001A6F12" w:rsidRDefault="007A47E9" w:rsidP="007A47E9">
            <w:pPr>
              <w:rPr>
                <w:szCs w:val="14"/>
              </w:rPr>
            </w:pPr>
            <w:r w:rsidRPr="001A6F12">
              <w:rPr>
                <w:szCs w:val="14"/>
              </w:rPr>
              <w:t>Mobil</w:t>
            </w:r>
          </w:p>
        </w:tc>
        <w:tc>
          <w:tcPr>
            <w:tcW w:w="2552" w:type="dxa"/>
          </w:tcPr>
          <w:p w14:paraId="61073621" w14:textId="5C46E561" w:rsidR="007A47E9" w:rsidRPr="001A6F12" w:rsidRDefault="007A47E9" w:rsidP="007A47E9">
            <w:pPr>
              <w:rPr>
                <w:szCs w:val="14"/>
              </w:rPr>
            </w:pPr>
            <w:r>
              <w:t>+420 725 744 197</w:t>
            </w:r>
          </w:p>
        </w:tc>
        <w:tc>
          <w:tcPr>
            <w:tcW w:w="823" w:type="dxa"/>
          </w:tcPr>
          <w:p w14:paraId="6CB47F1B" w14:textId="77777777" w:rsidR="007A47E9" w:rsidRPr="001A6F12" w:rsidRDefault="007A47E9" w:rsidP="007A47E9">
            <w:pPr>
              <w:rPr>
                <w:szCs w:val="14"/>
              </w:rPr>
            </w:pPr>
          </w:p>
        </w:tc>
        <w:tc>
          <w:tcPr>
            <w:tcW w:w="3685" w:type="dxa"/>
            <w:vMerge/>
          </w:tcPr>
          <w:p w14:paraId="637D16F5" w14:textId="77777777" w:rsidR="007A47E9" w:rsidRPr="001A6F12" w:rsidRDefault="007A47E9" w:rsidP="007A47E9">
            <w:pPr>
              <w:rPr>
                <w:szCs w:val="14"/>
              </w:rPr>
            </w:pPr>
          </w:p>
        </w:tc>
      </w:tr>
      <w:tr w:rsidR="007A47E9" w:rsidRPr="001A6F12" w14:paraId="2595A3C6" w14:textId="77777777" w:rsidTr="00F862D6">
        <w:tc>
          <w:tcPr>
            <w:tcW w:w="1020" w:type="dxa"/>
          </w:tcPr>
          <w:p w14:paraId="3ACBA612" w14:textId="77777777" w:rsidR="007A47E9" w:rsidRPr="001A6F12" w:rsidRDefault="007A47E9" w:rsidP="007A47E9">
            <w:pPr>
              <w:rPr>
                <w:szCs w:val="14"/>
              </w:rPr>
            </w:pPr>
            <w:r w:rsidRPr="001A6F12">
              <w:rPr>
                <w:szCs w:val="14"/>
              </w:rPr>
              <w:t>E-mail</w:t>
            </w:r>
          </w:p>
        </w:tc>
        <w:tc>
          <w:tcPr>
            <w:tcW w:w="2552" w:type="dxa"/>
          </w:tcPr>
          <w:p w14:paraId="26DAA384" w14:textId="77777777" w:rsidR="007A47E9" w:rsidRDefault="00C6152B" w:rsidP="007A47E9">
            <w:hyperlink r:id="rId11" w:history="1">
              <w:r w:rsidR="007A47E9" w:rsidRPr="00523331">
                <w:rPr>
                  <w:rStyle w:val="Hypertextovodkaz"/>
                </w:rPr>
                <w:t>Reckova@spravazeleznic.cz</w:t>
              </w:r>
            </w:hyperlink>
          </w:p>
          <w:p w14:paraId="31AEC15A" w14:textId="77777777" w:rsidR="007A47E9" w:rsidRPr="001A6F12" w:rsidRDefault="007A47E9" w:rsidP="007A47E9">
            <w:pPr>
              <w:rPr>
                <w:szCs w:val="14"/>
              </w:rPr>
            </w:pPr>
          </w:p>
        </w:tc>
        <w:tc>
          <w:tcPr>
            <w:tcW w:w="823" w:type="dxa"/>
          </w:tcPr>
          <w:p w14:paraId="183C781C" w14:textId="77777777" w:rsidR="007A47E9" w:rsidRPr="001A6F12" w:rsidRDefault="007A47E9" w:rsidP="007A47E9">
            <w:pPr>
              <w:rPr>
                <w:szCs w:val="14"/>
              </w:rPr>
            </w:pPr>
          </w:p>
        </w:tc>
        <w:tc>
          <w:tcPr>
            <w:tcW w:w="3685" w:type="dxa"/>
            <w:vMerge/>
          </w:tcPr>
          <w:p w14:paraId="62D8788D" w14:textId="77777777" w:rsidR="007A47E9" w:rsidRPr="001A6F12" w:rsidRDefault="007A47E9" w:rsidP="007A47E9">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1" w:name="Datum"/>
        <w:tc>
          <w:tcPr>
            <w:tcW w:w="2552" w:type="dxa"/>
          </w:tcPr>
          <w:p w14:paraId="123ECF93" w14:textId="72D8D599"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3A6B48">
              <w:rPr>
                <w:noProof/>
                <w:szCs w:val="14"/>
              </w:rPr>
              <w:t>2. dubna 2024</w:t>
            </w:r>
            <w:r w:rsidRPr="001A6F12">
              <w:rPr>
                <w:szCs w:val="14"/>
              </w:rPr>
              <w:fldChar w:fldCharType="end"/>
            </w:r>
            <w:r w:rsidRPr="001A6F12">
              <w:rPr>
                <w:szCs w:val="14"/>
              </w:rPr>
              <w:t xml:space="preserve"> </w:t>
            </w:r>
            <w:bookmarkEnd w:id="1"/>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771C6AD4"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2" w:name="_Hlk159490675"/>
      <w:bookmarkStart w:id="3" w:name="_Hlk159398076"/>
      <w:r w:rsidR="007A47E9">
        <w:rPr>
          <w:rFonts w:eastAsia="Times New Roman" w:cs="Times New Roman"/>
          <w:b/>
          <w:lang w:eastAsia="cs-CZ"/>
        </w:rPr>
        <w:t>„</w:t>
      </w:r>
      <w:r w:rsidR="00A3776E" w:rsidRPr="00A3776E">
        <w:rPr>
          <w:rFonts w:eastAsia="Times New Roman" w:cs="Times New Roman"/>
          <w:b/>
          <w:lang w:eastAsia="cs-CZ"/>
        </w:rPr>
        <w:t>Parkovací hala HZS JPO Havlíčkův Brod</w:t>
      </w:r>
      <w:r w:rsidRPr="001A6F12">
        <w:rPr>
          <w:rFonts w:eastAsia="Times New Roman" w:cs="Times New Roman"/>
          <w:b/>
          <w:lang w:eastAsia="cs-CZ"/>
        </w:rPr>
        <w:t>“</w:t>
      </w:r>
      <w:r w:rsidR="007A47E9" w:rsidRPr="00C20C77">
        <w:rPr>
          <w:rFonts w:eastAsia="Times New Roman" w:cs="Times New Roman"/>
          <w:b/>
          <w:lang w:eastAsia="cs-CZ"/>
        </w:rPr>
        <w:t xml:space="preserve"> - BOZP</w:t>
      </w:r>
      <w:bookmarkEnd w:id="2"/>
    </w:p>
    <w:p w14:paraId="777BDE51" w14:textId="4A6DDB17"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w:t>
      </w:r>
      <w:r w:rsidRPr="002E1F8E">
        <w:rPr>
          <w:rFonts w:eastAsia="Times New Roman" w:cs="Times New Roman"/>
          <w:color w:val="000000"/>
          <w:lang w:eastAsia="cs-CZ"/>
        </w:rPr>
        <w:t xml:space="preserve">číslo VZ </w:t>
      </w:r>
      <w:r w:rsidRPr="002E1F8E">
        <w:rPr>
          <w:rFonts w:eastAsia="Times New Roman" w:cs="Times New Roman"/>
          <w:lang w:eastAsia="cs-CZ"/>
        </w:rPr>
        <w:t xml:space="preserve">dle registru: </w:t>
      </w:r>
      <w:r w:rsidR="002E1F8E" w:rsidRPr="002E1F8E">
        <w:rPr>
          <w:rFonts w:eastAsia="Times New Roman" w:cs="Arial"/>
          <w:lang w:eastAsia="cs-CZ"/>
        </w:rPr>
        <w:t>617240</w:t>
      </w:r>
      <w:r w:rsidR="00050DB8">
        <w:rPr>
          <w:rFonts w:eastAsia="Times New Roman" w:cs="Arial"/>
          <w:lang w:eastAsia="cs-CZ"/>
        </w:rPr>
        <w:t>70</w:t>
      </w:r>
      <w:r w:rsidRPr="002E1F8E">
        <w:rPr>
          <w:rFonts w:eastAsia="Times New Roman" w:cs="Times New Roman"/>
          <w:lang w:eastAsia="cs-CZ"/>
        </w:rPr>
        <w:t>)</w:t>
      </w:r>
    </w:p>
    <w:bookmarkEnd w:id="3"/>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4B59163"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7A47E9" w:rsidRPr="007A47E9">
        <w:rPr>
          <w:rFonts w:ascii="Verdana" w:eastAsia="Times New Roman" w:hAnsi="Verdana" w:cs="Times New Roman"/>
          <w:lang w:eastAsia="cs-CZ"/>
        </w:rPr>
        <w:t>Ing. Radomíra Rečková, telefon: 725 744 197,</w:t>
      </w:r>
      <w:r w:rsidR="007A47E9" w:rsidRPr="007A47E9">
        <w:rPr>
          <w:rFonts w:ascii="Verdana" w:eastAsia="Times New Roman" w:hAnsi="Verdana" w:cs="Times New Roman"/>
          <w:lang w:eastAsia="cs-CZ"/>
        </w:rPr>
        <w:br/>
        <w:t xml:space="preserve">e-mail: </w:t>
      </w:r>
      <w:hyperlink r:id="rId14" w:history="1">
        <w:r w:rsidR="007A47E9" w:rsidRPr="007A47E9">
          <w:rPr>
            <w:rStyle w:val="Hypertextovodkaz"/>
            <w:rFonts w:ascii="Verdana" w:eastAsia="Times New Roman" w:hAnsi="Verdana" w:cs="Times New Roman"/>
            <w:lang w:eastAsia="cs-CZ"/>
          </w:rPr>
          <w:t>Reckova@spravazeleznic.cz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r w:rsidR="007A47E9">
        <w:rPr>
          <w:rFonts w:ascii="Verdana" w:eastAsia="Times New Roman" w:hAnsi="Verdana" w:cs="Times New Roman"/>
          <w:lang w:eastAsia="cs-CZ"/>
        </w:rPr>
        <w:t>.</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2420EE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705E37">
        <w:rPr>
          <w:rFonts w:eastAsia="Times New Roman" w:cs="Arial"/>
          <w:b/>
          <w:lang w:eastAsia="cs-CZ"/>
        </w:rPr>
        <w:t>274 000</w:t>
      </w:r>
      <w:r w:rsidR="008C3F54">
        <w:rPr>
          <w:rFonts w:eastAsia="Times New Roman" w:cs="Arial"/>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638B3106" w:rsidR="001A6F12" w:rsidRPr="001A6F12" w:rsidRDefault="001A6F12" w:rsidP="008C3F5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8C3F54" w:rsidRPr="008C3F54">
        <w:rPr>
          <w:rFonts w:eastAsia="Times New Roman" w:cs="Times New Roman"/>
          <w:b/>
          <w:lang w:eastAsia="cs-CZ"/>
        </w:rPr>
        <w:t>„</w:t>
      </w:r>
      <w:r w:rsidR="00DA6AA5" w:rsidRPr="00DA6AA5">
        <w:rPr>
          <w:rFonts w:eastAsia="Times New Roman" w:cs="Times New Roman"/>
          <w:b/>
          <w:lang w:eastAsia="cs-CZ"/>
        </w:rPr>
        <w:t>Parkovací hala HZS JPO Havlíčkův Brod</w:t>
      </w:r>
      <w:r w:rsidR="008C3F54" w:rsidRPr="008C3F54">
        <w:rPr>
          <w:rFonts w:eastAsia="Times New Roman" w:cs="Times New Roman"/>
          <w:b/>
          <w:lang w:eastAsia="cs-CZ"/>
        </w:rPr>
        <w:t xml:space="preserve">“ </w:t>
      </w:r>
      <w:r w:rsidR="008C3F54">
        <w:rPr>
          <w:rFonts w:eastAsia="Times New Roman" w:cs="Times New Roman"/>
          <w:b/>
          <w:lang w:eastAsia="cs-CZ"/>
        </w:rPr>
        <w:t>–</w:t>
      </w:r>
      <w:r w:rsidR="008C3F54" w:rsidRPr="008C3F54">
        <w:rPr>
          <w:rFonts w:eastAsia="Times New Roman" w:cs="Times New Roman"/>
          <w:b/>
          <w:lang w:eastAsia="cs-CZ"/>
        </w:rPr>
        <w:t xml:space="preserve"> BOZP</w:t>
      </w:r>
      <w:r w:rsidR="008C3F54">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677A0D1B" w:rsidR="001A6F12" w:rsidRPr="006E7B30" w:rsidRDefault="001A6F12" w:rsidP="001A6F12">
      <w:pPr>
        <w:numPr>
          <w:ilvl w:val="0"/>
          <w:numId w:val="8"/>
        </w:numPr>
        <w:spacing w:after="0" w:line="240" w:lineRule="auto"/>
        <w:ind w:left="709" w:hanging="283"/>
        <w:rPr>
          <w:rFonts w:eastAsia="Times New Roman" w:cs="Times New Roman"/>
          <w:lang w:eastAsia="cs-CZ"/>
        </w:rPr>
      </w:pPr>
      <w:r w:rsidRPr="006E7B30">
        <w:rPr>
          <w:rFonts w:eastAsia="Times New Roman" w:cs="Times New Roman"/>
          <w:lang w:eastAsia="cs-CZ"/>
        </w:rPr>
        <w:t xml:space="preserve">Výzva k podání nabídky č. j. </w:t>
      </w:r>
      <w:r w:rsidR="00DA6AA5" w:rsidRPr="00DA6AA5">
        <w:rPr>
          <w:rFonts w:eastAsia="Times New Roman" w:cs="Arial"/>
          <w:lang w:eastAsia="cs-CZ"/>
        </w:rPr>
        <w:t>3215/2024-SŽ-SSV-Ú3</w:t>
      </w:r>
      <w:r w:rsidRPr="006E7B30">
        <w:rPr>
          <w:rFonts w:eastAsia="Times New Roman" w:cs="Times New Roman"/>
          <w:lang w:val="en-US" w:eastAsia="cs-CZ"/>
        </w:rPr>
        <w:t xml:space="preserve"> (</w:t>
      </w:r>
      <w:proofErr w:type="spellStart"/>
      <w:r w:rsidRPr="006E7B30">
        <w:rPr>
          <w:rFonts w:eastAsia="Times New Roman" w:cs="Times New Roman"/>
          <w:lang w:val="en-US" w:eastAsia="cs-CZ"/>
        </w:rPr>
        <w:t>dále</w:t>
      </w:r>
      <w:proofErr w:type="spellEnd"/>
      <w:r w:rsidRPr="006E7B30">
        <w:rPr>
          <w:rFonts w:eastAsia="Times New Roman" w:cs="Times New Roman"/>
          <w:lang w:val="en-US" w:eastAsia="cs-CZ"/>
        </w:rPr>
        <w:t xml:space="preserve"> </w:t>
      </w:r>
      <w:proofErr w:type="spellStart"/>
      <w:r w:rsidRPr="006E7B30">
        <w:rPr>
          <w:rFonts w:eastAsia="Times New Roman" w:cs="Times New Roman"/>
          <w:lang w:val="en-US" w:eastAsia="cs-CZ"/>
        </w:rPr>
        <w:t>jen</w:t>
      </w:r>
      <w:proofErr w:type="spellEnd"/>
      <w:r w:rsidRPr="006E7B30">
        <w:rPr>
          <w:rFonts w:eastAsia="Times New Roman" w:cs="Times New Roman"/>
          <w:lang w:val="en-US" w:eastAsia="cs-CZ"/>
        </w:rPr>
        <w:t xml:space="preserve"> “</w:t>
      </w:r>
      <w:proofErr w:type="spellStart"/>
      <w:r w:rsidRPr="006E7B30">
        <w:rPr>
          <w:rFonts w:eastAsia="Times New Roman" w:cs="Times New Roman"/>
          <w:lang w:val="en-US" w:eastAsia="cs-CZ"/>
        </w:rPr>
        <w:t>Výzva</w:t>
      </w:r>
      <w:proofErr w:type="spellEnd"/>
      <w:r w:rsidRPr="006E7B30">
        <w:rPr>
          <w:rFonts w:eastAsia="Times New Roman" w:cs="Times New Roman"/>
          <w:lang w:val="en-US" w:eastAsia="cs-CZ"/>
        </w:rPr>
        <w:t xml:space="preserve">”), </w:t>
      </w:r>
    </w:p>
    <w:p w14:paraId="77BFAB3C" w14:textId="77777777" w:rsidR="001A6F12" w:rsidRPr="006E7B30" w:rsidRDefault="001A6F12" w:rsidP="001A6F12">
      <w:pPr>
        <w:numPr>
          <w:ilvl w:val="0"/>
          <w:numId w:val="8"/>
        </w:numPr>
        <w:spacing w:after="0" w:line="240" w:lineRule="auto"/>
        <w:ind w:left="709" w:hanging="283"/>
        <w:rPr>
          <w:rFonts w:eastAsia="Times New Roman" w:cs="Times New Roman"/>
          <w:lang w:eastAsia="cs-CZ"/>
        </w:rPr>
      </w:pPr>
      <w:r w:rsidRPr="006E7B30">
        <w:rPr>
          <w:rFonts w:eastAsia="Times New Roman" w:cs="Times New Roman"/>
          <w:lang w:eastAsia="cs-CZ"/>
        </w:rPr>
        <w:t xml:space="preserve">Závazný vzor Smlouvy o </w:t>
      </w:r>
      <w:r w:rsidR="007A566E" w:rsidRPr="006E7B30">
        <w:rPr>
          <w:rFonts w:eastAsia="Times New Roman" w:cs="Times New Roman"/>
          <w:lang w:eastAsia="cs-CZ"/>
        </w:rPr>
        <w:t xml:space="preserve">dílo na </w:t>
      </w:r>
      <w:r w:rsidRPr="006E7B30">
        <w:rPr>
          <w:rFonts w:eastAsia="Times New Roman" w:cs="Times New Roman"/>
          <w:lang w:eastAsia="cs-CZ"/>
        </w:rPr>
        <w:t>výkon činnosti koordinátora bezpečnosti a ochrany zdraví při práci na staveništi ve fázi realizace stavby,</w:t>
      </w:r>
    </w:p>
    <w:p w14:paraId="0F190493" w14:textId="7E879F7A" w:rsidR="001A6F12" w:rsidRPr="006E7B30" w:rsidRDefault="00F44F4D" w:rsidP="001A6F12">
      <w:pPr>
        <w:numPr>
          <w:ilvl w:val="0"/>
          <w:numId w:val="8"/>
        </w:numPr>
        <w:spacing w:after="0" w:line="240" w:lineRule="auto"/>
        <w:ind w:left="709" w:hanging="283"/>
        <w:rPr>
          <w:rFonts w:eastAsia="Times New Roman" w:cs="Times New Roman"/>
          <w:lang w:eastAsia="cs-CZ"/>
        </w:rPr>
      </w:pPr>
      <w:r w:rsidRPr="006E7B30">
        <w:rPr>
          <w:rFonts w:eastAsia="Times New Roman" w:cs="Times New Roman"/>
          <w:lang w:eastAsia="cs-CZ"/>
        </w:rPr>
        <w:t xml:space="preserve">Projektová dokumentace (pouze části, týkající se BOZP): zpracovaná </w:t>
      </w:r>
      <w:r w:rsidR="006E7B30" w:rsidRPr="006E7B30">
        <w:rPr>
          <w:rFonts w:eastAsia="Times New Roman" w:cs="Arial"/>
          <w:lang w:eastAsia="cs-CZ"/>
        </w:rPr>
        <w:t xml:space="preserve">společností </w:t>
      </w:r>
      <w:r w:rsidR="008C0CEA" w:rsidRPr="008C0CEA">
        <w:t xml:space="preserve">TAPA projekt s.r.o., se sídlem </w:t>
      </w:r>
      <w:proofErr w:type="spellStart"/>
      <w:r w:rsidR="008C0CEA" w:rsidRPr="008C0CEA">
        <w:t>Waldhauserova</w:t>
      </w:r>
      <w:proofErr w:type="spellEnd"/>
      <w:r w:rsidR="008C0CEA" w:rsidRPr="008C0CEA">
        <w:t xml:space="preserve"> 948, 580 01 Havlíčkův Brod, IČO: 259 29 313, z 09/2020</w:t>
      </w:r>
      <w:r w:rsidRPr="006E7B30">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705D52CE" w:rsidR="001A6F12" w:rsidRPr="001A6F12" w:rsidRDefault="00F44F4D" w:rsidP="001A6F12">
      <w:pPr>
        <w:spacing w:after="0" w:line="240" w:lineRule="auto"/>
        <w:ind w:left="426"/>
        <w:jc w:val="both"/>
        <w:rPr>
          <w:rFonts w:eastAsia="Times New Roman" w:cs="Times New Roman"/>
          <w:lang w:eastAsia="cs-CZ"/>
        </w:rPr>
      </w:pPr>
      <w:r w:rsidRPr="001C2561">
        <w:rPr>
          <w:rFonts w:eastAsia="Times New Roman" w:cs="Times New Roman"/>
          <w:b/>
          <w:lang w:eastAsia="cs-CZ"/>
        </w:rPr>
        <w:t>Zahájení plnění:</w:t>
      </w:r>
      <w:r w:rsidRPr="001C2561">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r w:rsidR="001C2561">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1C2561">
        <w:rPr>
          <w:rFonts w:eastAsia="Times New Roman" w:cs="Times New Roman"/>
          <w:lang w:val="sv-SE" w:eastAsia="cs-CZ"/>
        </w:rPr>
        <w:t xml:space="preserve">Vzhledem ke skutečnosti, že zadavatel není schopen předvídat průběh </w:t>
      </w:r>
      <w:r w:rsidR="00B44847" w:rsidRPr="001C2561">
        <w:rPr>
          <w:rFonts w:eastAsia="Times New Roman" w:cs="Times New Roman"/>
          <w:lang w:val="sv-SE" w:eastAsia="cs-CZ"/>
        </w:rPr>
        <w:t xml:space="preserve">výběrového </w:t>
      </w:r>
      <w:r w:rsidRPr="001C2561">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1C2561">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2B0EDA93"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402FA1">
        <w:rPr>
          <w:rFonts w:eastAsia="Times New Roman" w:cs="Arial"/>
          <w:b/>
          <w:bCs/>
          <w:lang w:eastAsia="cs-CZ"/>
        </w:rPr>
        <w:t xml:space="preserve">13 </w:t>
      </w:r>
      <w:r w:rsidR="001C2561" w:rsidRPr="001C2561">
        <w:rPr>
          <w:rFonts w:eastAsia="Times New Roman" w:cs="Arial"/>
          <w:b/>
          <w:bCs/>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w:t>
      </w:r>
      <w:r w:rsidRPr="001A6F12">
        <w:rPr>
          <w:rFonts w:eastAsia="Times New Roman" w:cs="Times New Roman"/>
          <w:lang w:eastAsia="cs-CZ"/>
        </w:rPr>
        <w:lastRenderedPageBreak/>
        <w:t>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1C2561">
        <w:rPr>
          <w:rFonts w:eastAsia="Times New Roman" w:cs="Times New Roman"/>
          <w:lang w:eastAsia="cs-CZ"/>
        </w:rPr>
        <w:t>tvoří</w:t>
      </w:r>
      <w:proofErr w:type="gramEnd"/>
      <w:r w:rsidRPr="001C2561">
        <w:rPr>
          <w:rFonts w:eastAsia="Times New Roman" w:cs="Times New Roman"/>
          <w:lang w:eastAsia="cs-CZ"/>
        </w:rPr>
        <w:t xml:space="preserve">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40374B35"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705E37">
        <w:rPr>
          <w:rFonts w:eastAsia="Times New Roman" w:cs="Arial"/>
          <w:b/>
          <w:bCs/>
          <w:lang w:eastAsia="cs-CZ"/>
        </w:rPr>
        <w:t>274</w:t>
      </w:r>
      <w:r w:rsidR="00C27ABA">
        <w:rPr>
          <w:rFonts w:eastAsia="Times New Roman" w:cs="Arial"/>
          <w:b/>
          <w:bCs/>
          <w:lang w:eastAsia="cs-CZ"/>
        </w:rPr>
        <w:t xml:space="preserve"> 000</w:t>
      </w:r>
      <w:r w:rsidRPr="001C2561">
        <w:rPr>
          <w:rFonts w:eastAsia="Times New Roman" w:cs="Times New Roman"/>
          <w:b/>
          <w:bCs/>
          <w:color w:val="000000"/>
          <w:lang w:val="en-US" w:eastAsia="cs-CZ"/>
        </w:rPr>
        <w:t>,-</w:t>
      </w:r>
      <w:r w:rsidRPr="001A6F12">
        <w:rPr>
          <w:rFonts w:eastAsia="Times New Roman" w:cs="Times New Roman"/>
          <w:lang w:eastAsia="cs-CZ"/>
        </w:rPr>
        <w:t xml:space="preserve"> Kč bez DPH</w:t>
      </w:r>
      <w:r w:rsidR="001C2561">
        <w:rPr>
          <w:rFonts w:eastAsia="Times New Roman" w:cs="Times New Roman"/>
          <w:lang w:eastAsia="cs-CZ"/>
        </w:rPr>
        <w:t>.</w:t>
      </w:r>
      <w:r w:rsidRPr="001A6F12">
        <w:rPr>
          <w:rFonts w:eastAsia="Times New Roman" w:cs="Times New Roman"/>
          <w:lang w:eastAsia="cs-CZ"/>
        </w:rPr>
        <w:t xml:space="preserve"> </w:t>
      </w:r>
      <w:r w:rsidRPr="001A6F12">
        <w:rPr>
          <w:rFonts w:eastAsia="Times New Roman" w:cs="Times New Roman"/>
          <w:color w:val="000000"/>
          <w:lang w:eastAsia="cs-CZ"/>
        </w:rPr>
        <w:t xml:space="preserve">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w:t>
      </w:r>
      <w:r w:rsidRPr="00DA6579">
        <w:rPr>
          <w:rFonts w:eastAsia="Times New Roman" w:cs="Times New Roman"/>
          <w:color w:val="000000"/>
          <w:lang w:eastAsia="cs-CZ"/>
        </w:rPr>
        <w:t xml:space="preserve">hodnotu alespoň </w:t>
      </w:r>
      <w:r w:rsidR="00705E37">
        <w:rPr>
          <w:rFonts w:eastAsia="Times New Roman" w:cs="Arial"/>
          <w:b/>
          <w:lang w:eastAsia="cs-CZ"/>
        </w:rPr>
        <w:t>137</w:t>
      </w:r>
      <w:r w:rsidR="00DA6579" w:rsidRPr="00DA6579">
        <w:rPr>
          <w:rFonts w:eastAsia="Times New Roman" w:cs="Arial"/>
          <w:b/>
          <w:lang w:eastAsia="cs-CZ"/>
        </w:rPr>
        <w:t xml:space="preserve"> 000</w:t>
      </w:r>
      <w:r w:rsidRPr="00DA6579">
        <w:rPr>
          <w:rFonts w:eastAsia="Times New Roman" w:cs="Times New Roman"/>
          <w:b/>
          <w:color w:val="000000"/>
          <w:lang w:val="en-US" w:eastAsia="cs-CZ"/>
        </w:rPr>
        <w:t>,-</w:t>
      </w:r>
      <w:r w:rsidRPr="00DA6579">
        <w:rPr>
          <w:rFonts w:eastAsia="Times New Roman" w:cs="Times New Roman"/>
          <w:lang w:eastAsia="cs-CZ"/>
        </w:rPr>
        <w:t xml:space="preserve"> </w:t>
      </w:r>
      <w:r w:rsidRPr="00DA6579">
        <w:rPr>
          <w:rFonts w:eastAsia="Times New Roman" w:cs="Times New Roman"/>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DA6579"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obsažené </w:t>
      </w:r>
      <w:r w:rsidRPr="00DA6579">
        <w:rPr>
          <w:rFonts w:eastAsia="Times New Roman" w:cs="Times New Roman"/>
          <w:color w:val="000000"/>
          <w:lang w:eastAsia="cs-CZ"/>
        </w:rPr>
        <w:t>v Příloze č. 3 této Výzvy.</w:t>
      </w:r>
    </w:p>
    <w:p w14:paraId="13C4825B" w14:textId="77777777" w:rsidR="001A6F12" w:rsidRPr="00DA6579"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DA6579" w:rsidRDefault="001A6F12" w:rsidP="001A6F12">
      <w:pPr>
        <w:spacing w:after="0" w:line="240" w:lineRule="exact"/>
        <w:ind w:left="851"/>
        <w:jc w:val="both"/>
        <w:rPr>
          <w:rFonts w:eastAsia="Times New Roman" w:cs="Times New Roman"/>
          <w:color w:val="000000"/>
          <w:lang w:eastAsia="cs-CZ"/>
        </w:rPr>
      </w:pPr>
      <w:r w:rsidRPr="00DA6579">
        <w:rPr>
          <w:rFonts w:eastAsia="Times New Roman" w:cs="Times New Roman"/>
          <w:lang w:eastAsia="cs-CZ"/>
        </w:rPr>
        <w:t>Skutečností rozhodnou pro počátek běhu tříleté lhůty je poslední den lhůty pro podání nabídek.</w:t>
      </w:r>
      <w:r w:rsidRPr="00DA6579">
        <w:rPr>
          <w:rFonts w:eastAsia="Times New Roman" w:cs="Times New Roman"/>
          <w:color w:val="000000"/>
          <w:lang w:eastAsia="cs-CZ"/>
        </w:rPr>
        <w:t xml:space="preserve"> </w:t>
      </w:r>
      <w:r w:rsidRPr="00DA6579">
        <w:rPr>
          <w:rFonts w:eastAsia="Times New Roman" w:cs="Times New Roman"/>
          <w:lang w:eastAsia="cs-CZ"/>
        </w:rPr>
        <w:t xml:space="preserve">Doba 3 let se považuje za splněnou, pokud byly služby v průběhu této doby dokončeny.  </w:t>
      </w:r>
    </w:p>
    <w:p w14:paraId="7261B8F5" w14:textId="77777777" w:rsidR="001A6F12" w:rsidRPr="00DA6579"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DA6579">
        <w:rPr>
          <w:rFonts w:eastAsia="Times New Roman" w:cs="Times New Roman"/>
          <w:lang w:eastAsia="cs-CZ"/>
        </w:rPr>
        <w:t>Dodavatel může použít k prokázání splnění kritéria kv</w:t>
      </w:r>
      <w:r w:rsidRPr="001A6F12">
        <w:rPr>
          <w:rFonts w:eastAsia="Times New Roman" w:cs="Times New Roman"/>
          <w:lang w:eastAsia="cs-CZ"/>
        </w:rPr>
        <w:t>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21D1C10C" w:rsidR="001A6F12" w:rsidRPr="00716031"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716031">
        <w:rPr>
          <w:rFonts w:eastAsia="Times New Roman" w:cs="Times New Roman"/>
          <w:color w:val="000000"/>
          <w:lang w:eastAsia="cs-CZ"/>
        </w:rPr>
        <w:t xml:space="preserve">praxi ve výkonu činnosti koordinátora BOZP na </w:t>
      </w:r>
      <w:r w:rsidRPr="00716031">
        <w:rPr>
          <w:rFonts w:eastAsia="Times New Roman" w:cs="Times New Roman"/>
          <w:b/>
          <w:color w:val="000000"/>
          <w:lang w:eastAsia="cs-CZ"/>
        </w:rPr>
        <w:t>železničních</w:t>
      </w:r>
      <w:r w:rsidRPr="00716031">
        <w:rPr>
          <w:rFonts w:eastAsia="Times New Roman" w:cs="Times New Roman"/>
          <w:color w:val="000000"/>
          <w:lang w:eastAsia="cs-CZ"/>
        </w:rPr>
        <w:t xml:space="preserve"> stavbách minimálně </w:t>
      </w:r>
      <w:r w:rsidR="00716031" w:rsidRPr="00716031">
        <w:rPr>
          <w:rFonts w:eastAsia="Times New Roman" w:cs="Times New Roman"/>
          <w:b/>
          <w:color w:val="000000"/>
          <w:lang w:eastAsia="cs-CZ"/>
        </w:rPr>
        <w:t>3</w:t>
      </w:r>
      <w:r w:rsidR="003A4544" w:rsidRPr="00716031">
        <w:rPr>
          <w:rFonts w:eastAsia="Times New Roman" w:cs="Times New Roman"/>
          <w:b/>
          <w:color w:val="000000"/>
          <w:lang w:eastAsia="cs-CZ"/>
        </w:rPr>
        <w:t xml:space="preserve"> roky</w:t>
      </w:r>
      <w:r w:rsidR="00CD50C8" w:rsidRPr="00716031">
        <w:rPr>
          <w:rFonts w:eastAsia="Times New Roman" w:cs="Times New Roman"/>
          <w:color w:val="000000"/>
          <w:lang w:eastAsia="cs-CZ"/>
        </w:rPr>
        <w:t>;</w:t>
      </w:r>
    </w:p>
    <w:p w14:paraId="533D13C5" w14:textId="3EDCD0A2" w:rsidR="001A6F12" w:rsidRPr="00716031" w:rsidRDefault="001A6F12" w:rsidP="00220FFF">
      <w:pPr>
        <w:numPr>
          <w:ilvl w:val="0"/>
          <w:numId w:val="18"/>
        </w:numPr>
        <w:spacing w:after="0" w:line="240" w:lineRule="auto"/>
        <w:ind w:left="1985" w:right="23"/>
        <w:jc w:val="both"/>
        <w:rPr>
          <w:rFonts w:eastAsia="Times New Roman" w:cs="Times New Roman"/>
          <w:color w:val="000000"/>
          <w:lang w:eastAsia="cs-CZ"/>
        </w:rPr>
      </w:pPr>
      <w:r w:rsidRPr="0071603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16031" w:rsidRPr="00716031">
        <w:rPr>
          <w:rFonts w:eastAsia="Times New Roman" w:cs="Times New Roman"/>
          <w:b/>
          <w:color w:val="000000"/>
          <w:lang w:eastAsia="cs-CZ"/>
        </w:rPr>
        <w:t>3</w:t>
      </w:r>
      <w:r w:rsidR="003A4544" w:rsidRPr="00716031">
        <w:rPr>
          <w:rFonts w:eastAsia="Times New Roman" w:cs="Times New Roman"/>
          <w:color w:val="000000"/>
          <w:lang w:eastAsia="cs-CZ"/>
        </w:rPr>
        <w:t xml:space="preserve"> </w:t>
      </w:r>
      <w:r w:rsidR="003A4544" w:rsidRPr="00716031">
        <w:rPr>
          <w:rFonts w:eastAsia="Times New Roman" w:cs="Times New Roman"/>
          <w:b/>
          <w:color w:val="000000"/>
          <w:lang w:eastAsia="cs-CZ"/>
        </w:rPr>
        <w:t>rok</w:t>
      </w:r>
      <w:r w:rsidRPr="00716031">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716031">
        <w:rPr>
          <w:rFonts w:eastAsia="Times New Roman" w:cs="Times New Roman"/>
          <w:color w:val="000000"/>
          <w:lang w:eastAsia="cs-CZ"/>
        </w:rPr>
        <w:t>případně další osoby, které se budou přímo podílet na plnění</w:t>
      </w:r>
      <w:r w:rsidRPr="004868AD">
        <w:rPr>
          <w:rFonts w:eastAsia="Times New Roman" w:cs="Times New Roman"/>
          <w:color w:val="000000"/>
          <w:lang w:eastAsia="cs-CZ"/>
        </w:rPr>
        <w:t xml:space="preserve">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Pr="00716031" w:rsidRDefault="00E26114" w:rsidP="00E26114">
      <w:pPr>
        <w:pStyle w:val="Textbezslovn"/>
      </w:pPr>
      <w:r>
        <w:t xml:space="preserve">Zadavatel požaduje, aby dodavatel u všech poddodavatelů </w:t>
      </w:r>
      <w:r w:rsidRPr="00716031">
        <w:t>uvedených v Příloze č. 4 této Výzvy, kteří jsou dodavateli při podání nabídky známi, prokázal:</w:t>
      </w:r>
    </w:p>
    <w:p w14:paraId="04295361" w14:textId="77777777" w:rsidR="00E26114" w:rsidRPr="00716031" w:rsidRDefault="001D0E62" w:rsidP="00E26114">
      <w:pPr>
        <w:pStyle w:val="Odrka1-1"/>
      </w:pPr>
      <w:r w:rsidRPr="00716031">
        <w:t>základní způsobilost podle čl. 8</w:t>
      </w:r>
      <w:r w:rsidR="00E26114" w:rsidRPr="00716031">
        <w:t>.1 písm. a) této Výzvy</w:t>
      </w:r>
      <w:r w:rsidRPr="00716031">
        <w:t>, a to způsobem uvedeným v čl. 8</w:t>
      </w:r>
      <w:r w:rsidR="00E26114" w:rsidRPr="00716031">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716031"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716031">
        <w:rPr>
          <w:rFonts w:eastAsia="Times New Roman" w:cs="Times New Roman"/>
          <w:b/>
          <w:sz w:val="20"/>
          <w:szCs w:val="20"/>
          <w:u w:val="single"/>
          <w:lang w:eastAsia="cs-CZ"/>
        </w:rPr>
        <w:t>Základní hodnotící kritérium a způsob hodnocení nabídek:</w:t>
      </w:r>
    </w:p>
    <w:p w14:paraId="1E8015F7" w14:textId="77777777" w:rsidR="001A6F12" w:rsidRPr="00716031" w:rsidRDefault="001A6F12" w:rsidP="001A6F12">
      <w:pPr>
        <w:spacing w:after="0" w:line="240" w:lineRule="auto"/>
        <w:ind w:left="426"/>
        <w:jc w:val="both"/>
        <w:rPr>
          <w:rFonts w:eastAsia="Times New Roman" w:cs="Times New Roman"/>
          <w:lang w:eastAsia="cs-CZ"/>
        </w:rPr>
      </w:pPr>
      <w:r w:rsidRPr="00716031">
        <w:rPr>
          <w:rFonts w:eastAsia="Times New Roman" w:cs="Times New Roman"/>
          <w:lang w:eastAsia="cs-CZ"/>
        </w:rPr>
        <w:t xml:space="preserve">Zadavatel hodnotí nabídky podle jejich ekonomické výhodnosti. Ekonomickou výhodnost nabídek zadavatel hodnotí podle </w:t>
      </w:r>
      <w:r w:rsidRPr="00716031">
        <w:rPr>
          <w:rFonts w:eastAsia="Times New Roman" w:cs="Times New Roman"/>
          <w:b/>
          <w:lang w:eastAsia="cs-CZ"/>
        </w:rPr>
        <w:t>nejnižší nabídkové ceny.</w:t>
      </w:r>
      <w:r w:rsidRPr="00716031">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716031" w:rsidRDefault="001A6F12" w:rsidP="001A6F12">
      <w:pPr>
        <w:spacing w:after="0" w:line="240" w:lineRule="auto"/>
        <w:ind w:left="426"/>
        <w:jc w:val="both"/>
        <w:rPr>
          <w:rFonts w:eastAsia="Times New Roman" w:cs="Times New Roman"/>
          <w:lang w:eastAsia="cs-CZ"/>
        </w:rPr>
      </w:pPr>
    </w:p>
    <w:p w14:paraId="0E310EF5" w14:textId="77777777" w:rsidR="001A6F12" w:rsidRPr="00716031" w:rsidRDefault="001A6F12" w:rsidP="001A6F12">
      <w:pPr>
        <w:spacing w:after="0" w:line="240" w:lineRule="auto"/>
        <w:ind w:left="426"/>
        <w:jc w:val="both"/>
        <w:rPr>
          <w:rFonts w:eastAsia="Times New Roman" w:cs="Times New Roman"/>
          <w:lang w:eastAsia="cs-CZ"/>
        </w:rPr>
      </w:pPr>
      <w:r w:rsidRPr="00716031">
        <w:rPr>
          <w:rFonts w:eastAsia="Times New Roman" w:cs="Times New Roman"/>
          <w:lang w:eastAsia="cs-CZ"/>
        </w:rPr>
        <w:t>Při hodnocení nabídkové ceny je rozhodující Celková cena Díla bez DPH uvedená v </w:t>
      </w:r>
      <w:r w:rsidR="00BE771D" w:rsidRPr="00716031">
        <w:rPr>
          <w:rFonts w:eastAsia="Times New Roman" w:cs="Times New Roman"/>
          <w:lang w:eastAsia="cs-CZ"/>
        </w:rPr>
        <w:t>čl. 3</w:t>
      </w:r>
      <w:r w:rsidRPr="00716031">
        <w:rPr>
          <w:rFonts w:eastAsia="Times New Roman" w:cs="Times New Roman"/>
          <w:lang w:eastAsia="cs-CZ"/>
        </w:rPr>
        <w:t>.1 závazného vzoru smlouvy.</w:t>
      </w:r>
    </w:p>
    <w:p w14:paraId="0B179251" w14:textId="77777777" w:rsidR="001A6F12" w:rsidRPr="00716031" w:rsidRDefault="001A6F12" w:rsidP="001A6F12">
      <w:pPr>
        <w:spacing w:after="0" w:line="240" w:lineRule="auto"/>
        <w:rPr>
          <w:rFonts w:eastAsia="Times New Roman" w:cs="Times New Roman"/>
          <w:b/>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716031">
        <w:rPr>
          <w:rFonts w:cs="Arial"/>
          <w:b/>
        </w:rPr>
        <w:t>Nabídky lze podat v termínu, který je uveden na profilu zadavatele:</w:t>
      </w:r>
      <w:r w:rsidRPr="00716031">
        <w:rPr>
          <w:rFonts w:cs="Arial"/>
        </w:rPr>
        <w:t xml:space="preserve"> </w:t>
      </w:r>
      <w:hyperlink r:id="rId20" w:history="1">
        <w:r w:rsidRPr="00716031">
          <w:rPr>
            <w:rStyle w:val="Hypertextovodkaz"/>
            <w:rFonts w:cs="Arial"/>
            <w:b/>
            <w:bCs/>
            <w:lang w:eastAsia="cs-CZ"/>
          </w:rPr>
          <w:t>https://zakazky.spravazeleznic.cz/</w:t>
        </w:r>
      </w:hyperlink>
      <w:r w:rsidRPr="00716031">
        <w:rPr>
          <w:rFonts w:cs="Arial"/>
          <w:b/>
        </w:rPr>
        <w:t>.</w:t>
      </w:r>
    </w:p>
    <w:p w14:paraId="27C231E2" w14:textId="383CB3B0" w:rsidR="001A6F12" w:rsidRPr="001A6F12" w:rsidRDefault="001A6F12"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w:t>
      </w:r>
      <w:r w:rsidR="00097DB9" w:rsidRPr="009B745D">
        <w:rPr>
          <w:rFonts w:eastAsia="Times New Roman" w:cs="Times New Roman"/>
          <w:lang w:eastAsia="cs-CZ"/>
        </w:rPr>
        <w:lastRenderedPageBreak/>
        <w:t xml:space="preserve">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4"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4"/>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716031" w:rsidRDefault="00F749FC" w:rsidP="009127C1">
      <w:pPr>
        <w:numPr>
          <w:ilvl w:val="0"/>
          <w:numId w:val="14"/>
        </w:numPr>
        <w:spacing w:after="0" w:line="240" w:lineRule="auto"/>
        <w:ind w:hanging="437"/>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716031">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plná moc či pověření, je-li tohoto dokumentu třeba,</w:t>
      </w:r>
    </w:p>
    <w:p w14:paraId="3A0AEC77"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doklady o prokázání splnění základní způsobilosti (příloha č. 2 Výzvy),</w:t>
      </w:r>
    </w:p>
    <w:p w14:paraId="501E6826"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doklady o prokázání splnění profesní způsobilosti,</w:t>
      </w:r>
    </w:p>
    <w:p w14:paraId="398E4841"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doklady o prokázání splnění technické kvalifikace,</w:t>
      </w:r>
    </w:p>
    <w:p w14:paraId="2276C646"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716031" w:rsidRDefault="004A4465"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 xml:space="preserve">čestné prohlášení o splnění podmínek v souvislosti </w:t>
      </w:r>
      <w:r w:rsidR="00BB4EC2" w:rsidRPr="00716031">
        <w:rPr>
          <w:rFonts w:eastAsia="Times New Roman" w:cs="Times New Roman"/>
          <w:lang w:eastAsia="cs-CZ"/>
        </w:rPr>
        <w:t>s mezinárodními sankcemi</w:t>
      </w:r>
      <w:r w:rsidRPr="00716031">
        <w:rPr>
          <w:rFonts w:eastAsia="Times New Roman" w:cs="Times New Roman"/>
          <w:lang w:eastAsia="cs-CZ"/>
        </w:rPr>
        <w:t xml:space="preserve"> zpracované ve formě formuláře dle Přílohy č. </w:t>
      </w:r>
      <w:r w:rsidR="00302042" w:rsidRPr="00716031">
        <w:rPr>
          <w:rFonts w:eastAsia="Times New Roman" w:cs="Times New Roman"/>
          <w:lang w:eastAsia="cs-CZ"/>
        </w:rPr>
        <w:t>5</w:t>
      </w:r>
      <w:r w:rsidRPr="00716031">
        <w:rPr>
          <w:rFonts w:eastAsia="Times New Roman" w:cs="Times New Roman"/>
          <w:lang w:eastAsia="cs-CZ"/>
        </w:rPr>
        <w:t xml:space="preserve"> této Výzvy,</w:t>
      </w:r>
    </w:p>
    <w:p w14:paraId="5EFD2700" w14:textId="77777777" w:rsidR="001A6F12" w:rsidRPr="00716031" w:rsidRDefault="001A6F12" w:rsidP="001A6F12">
      <w:pPr>
        <w:numPr>
          <w:ilvl w:val="0"/>
          <w:numId w:val="14"/>
        </w:numPr>
        <w:spacing w:after="0" w:line="240" w:lineRule="auto"/>
        <w:ind w:hanging="437"/>
        <w:jc w:val="both"/>
        <w:rPr>
          <w:rFonts w:eastAsia="Times New Roman" w:cs="Times New Roman"/>
          <w:lang w:eastAsia="cs-CZ"/>
        </w:rPr>
      </w:pPr>
      <w:r w:rsidRPr="00716031">
        <w:rPr>
          <w:rFonts w:eastAsia="Times New Roman" w:cs="Times New Roman"/>
          <w:lang w:eastAsia="cs-CZ"/>
        </w:rPr>
        <w:t>případné další doklady.</w:t>
      </w:r>
    </w:p>
    <w:p w14:paraId="30CE1B52" w14:textId="77777777" w:rsidR="00F14433" w:rsidRPr="00716031"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716031">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716031">
        <w:t>této Výzvy</w:t>
      </w:r>
      <w:r w:rsidRPr="00716031">
        <w:t xml:space="preserve"> proto bude prohlášení ke střetu zájmů ve smyslu ustanovení § 4b zákona o střetu</w:t>
      </w:r>
      <w:r w:rsidRPr="000D22AD">
        <w:t xml:space="preserve">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w:t>
      </w:r>
      <w:r w:rsidR="00BE771D" w:rsidRPr="00716031">
        <w:rPr>
          <w:rFonts w:eastAsia="Calibri" w:cs="Times New Roman"/>
          <w:lang w:eastAsia="cs-CZ"/>
        </w:rPr>
        <w:t>čl. 3</w:t>
      </w:r>
      <w:r w:rsidRPr="00716031">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716031"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w:t>
      </w:r>
      <w:r w:rsidRPr="00716031">
        <w:rPr>
          <w:rFonts w:eastAsia="Times New Roman" w:cs="Times New Roman"/>
          <w:lang w:eastAsia="cs-CZ"/>
        </w:rPr>
        <w:t>odpovědného zadávání a povinnosti dodavatele s nimi spojené zadavatel stanovil v ustanoveních článku 5.5 závazného vzoru smlouvy, který je součástí zadávací dokumentace.</w:t>
      </w:r>
    </w:p>
    <w:p w14:paraId="3A766B02" w14:textId="77777777" w:rsidR="006655C7" w:rsidRPr="00716031"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716031">
        <w:rPr>
          <w:rFonts w:eastAsia="Times New Roman" w:cs="Times New Roman"/>
          <w:b/>
          <w:sz w:val="20"/>
          <w:szCs w:val="20"/>
          <w:u w:val="single"/>
          <w:lang w:eastAsia="cs-CZ"/>
        </w:rPr>
        <w:t xml:space="preserve">Další zadávací podmínky v návaznosti na </w:t>
      </w:r>
      <w:r w:rsidR="00D67399" w:rsidRPr="00716031">
        <w:rPr>
          <w:rFonts w:eastAsia="Times New Roman" w:cs="Times New Roman"/>
          <w:b/>
          <w:sz w:val="20"/>
          <w:szCs w:val="20"/>
          <w:u w:val="single"/>
          <w:lang w:eastAsia="cs-CZ"/>
        </w:rPr>
        <w:t xml:space="preserve">mezinárodní </w:t>
      </w:r>
      <w:r w:rsidRPr="00716031">
        <w:rPr>
          <w:rFonts w:eastAsia="Times New Roman" w:cs="Times New Roman"/>
          <w:b/>
          <w:sz w:val="20"/>
          <w:szCs w:val="20"/>
          <w:u w:val="single"/>
          <w:lang w:eastAsia="cs-CZ"/>
        </w:rPr>
        <w:t>sankce</w:t>
      </w:r>
      <w:bookmarkStart w:id="5" w:name="_Hlk148531745"/>
      <w:r w:rsidR="00C71BAC" w:rsidRPr="00056A82">
        <w:rPr>
          <w:rFonts w:eastAsia="Times New Roman" w:cs="Times New Roman"/>
          <w:b/>
          <w:sz w:val="20"/>
          <w:szCs w:val="20"/>
          <w:u w:val="single"/>
          <w:lang w:eastAsia="cs-CZ"/>
        </w:rPr>
        <w:t>, zákaz zadání veřejné zakázky</w:t>
      </w:r>
      <w:bookmarkEnd w:id="5"/>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Pr="00716031"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w:t>
      </w:r>
      <w:r w:rsidRPr="00716031">
        <w:t xml:space="preserve">vzorové znění je přílohou č. </w:t>
      </w:r>
      <w:r w:rsidR="00302042" w:rsidRPr="00716031">
        <w:t>5</w:t>
      </w:r>
      <w:r w:rsidRPr="00716031">
        <w:t xml:space="preserve"> této Výzvy, ve své nabídce.</w:t>
      </w:r>
    </w:p>
    <w:p w14:paraId="380020A1" w14:textId="77777777" w:rsidR="00B23E9E" w:rsidRDefault="00B23E9E" w:rsidP="00B23E9E">
      <w:pPr>
        <w:spacing w:before="120" w:after="0" w:line="240" w:lineRule="auto"/>
        <w:ind w:left="567"/>
        <w:jc w:val="both"/>
      </w:pPr>
      <w:r w:rsidRPr="00716031">
        <w:t>Zadavatel je oprávněn ověřovat si splnění zadávacích podmínek</w:t>
      </w:r>
      <w:r>
        <w:t xml:space="preserve">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4FFD8079" w14:textId="77777777" w:rsidR="00716031" w:rsidRDefault="00716031"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6"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06EFABAD" w:rsidR="000B6541" w:rsidRPr="000B6541" w:rsidRDefault="000B6541" w:rsidP="000B6541">
      <w:pPr>
        <w:spacing w:after="120"/>
        <w:jc w:val="both"/>
      </w:pPr>
      <w:r w:rsidRPr="000B6541">
        <w:t xml:space="preserve">Řádně jsme se seznámili se zněním zadávacích podmínek veřejné zakázky s názvem </w:t>
      </w:r>
      <w:r w:rsidR="00986B4E" w:rsidRPr="00986B4E">
        <w:rPr>
          <w:b/>
        </w:rPr>
        <w:t>„</w:t>
      </w:r>
      <w:r w:rsidR="00D05BA4" w:rsidRPr="00D05BA4">
        <w:rPr>
          <w:b/>
        </w:rPr>
        <w:t>Parkovací hala HZS JPO Havlíčkův Brod</w:t>
      </w:r>
      <w:r w:rsidR="00986B4E" w:rsidRPr="00986B4E">
        <w:rPr>
          <w:b/>
        </w:rPr>
        <w:t>“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6"/>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986B4E">
              <w:rPr>
                <w:rFonts w:eastAsia="Times New Roman" w:cs="Calibri"/>
                <w:lang w:eastAsia="cs-CZ"/>
              </w:rPr>
              <w:t>poskytnutých  dodavatelem</w:t>
            </w:r>
            <w:proofErr w:type="gramEnd"/>
            <w:r w:rsidRPr="00986B4E">
              <w:rPr>
                <w:rFonts w:eastAsia="Times New Roman" w:cs="Calibri"/>
                <w:lang w:eastAsia="cs-CZ"/>
              </w:rPr>
              <w:t>*  v posledních 3 letech v Kč**bez</w:t>
            </w:r>
            <w:r w:rsidRPr="001A6F12">
              <w:rPr>
                <w:rFonts w:eastAsia="Times New Roman" w:cs="Calibri"/>
                <w:lang w:eastAsia="cs-CZ"/>
              </w:rPr>
              <w:t xml:space="preserve">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7"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7"/>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6549B" w14:textId="77777777" w:rsidR="001469E4" w:rsidRDefault="001469E4" w:rsidP="00962258">
      <w:pPr>
        <w:spacing w:after="0" w:line="240" w:lineRule="auto"/>
      </w:pPr>
      <w:r>
        <w:separator/>
      </w:r>
    </w:p>
  </w:endnote>
  <w:endnote w:type="continuationSeparator" w:id="0">
    <w:p w14:paraId="744EABD7" w14:textId="77777777" w:rsidR="001469E4" w:rsidRDefault="00146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4279" w14:textId="77777777" w:rsidR="001469E4" w:rsidRDefault="001469E4" w:rsidP="00962258">
      <w:pPr>
        <w:spacing w:after="0" w:line="240" w:lineRule="auto"/>
      </w:pPr>
      <w:r>
        <w:separator/>
      </w:r>
    </w:p>
  </w:footnote>
  <w:footnote w:type="continuationSeparator" w:id="0">
    <w:p w14:paraId="09DBC73E" w14:textId="77777777" w:rsidR="001469E4" w:rsidRDefault="001469E4"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0DB8"/>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2561"/>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1F8E"/>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A6B48"/>
    <w:rsid w:val="003C3826"/>
    <w:rsid w:val="003E6B9A"/>
    <w:rsid w:val="003E75CE"/>
    <w:rsid w:val="003F5D19"/>
    <w:rsid w:val="00402FA1"/>
    <w:rsid w:val="0041380F"/>
    <w:rsid w:val="0042060F"/>
    <w:rsid w:val="00423F15"/>
    <w:rsid w:val="00450F07"/>
    <w:rsid w:val="00453CD3"/>
    <w:rsid w:val="00455BC7"/>
    <w:rsid w:val="00460660"/>
    <w:rsid w:val="00460CCB"/>
    <w:rsid w:val="00477370"/>
    <w:rsid w:val="00483F34"/>
    <w:rsid w:val="00484929"/>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B30"/>
    <w:rsid w:val="006E7F06"/>
    <w:rsid w:val="006F7E3A"/>
    <w:rsid w:val="00705E37"/>
    <w:rsid w:val="00710723"/>
    <w:rsid w:val="00716031"/>
    <w:rsid w:val="00720758"/>
    <w:rsid w:val="00723ED1"/>
    <w:rsid w:val="0073103A"/>
    <w:rsid w:val="00735ED4"/>
    <w:rsid w:val="00743525"/>
    <w:rsid w:val="007531A0"/>
    <w:rsid w:val="0076286B"/>
    <w:rsid w:val="00764595"/>
    <w:rsid w:val="00766846"/>
    <w:rsid w:val="0077673A"/>
    <w:rsid w:val="007846E1"/>
    <w:rsid w:val="007A2402"/>
    <w:rsid w:val="007A47E9"/>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0CEA"/>
    <w:rsid w:val="008C3F54"/>
    <w:rsid w:val="008C6D95"/>
    <w:rsid w:val="008D03B9"/>
    <w:rsid w:val="008E4046"/>
    <w:rsid w:val="008F18D6"/>
    <w:rsid w:val="00904780"/>
    <w:rsid w:val="009113A8"/>
    <w:rsid w:val="009127C1"/>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86B4E"/>
    <w:rsid w:val="00992D9C"/>
    <w:rsid w:val="00996CB8"/>
    <w:rsid w:val="009A7568"/>
    <w:rsid w:val="009B2E97"/>
    <w:rsid w:val="009B72CC"/>
    <w:rsid w:val="009C3339"/>
    <w:rsid w:val="009E07F4"/>
    <w:rsid w:val="009F392E"/>
    <w:rsid w:val="00A20EDF"/>
    <w:rsid w:val="00A3776E"/>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C2998"/>
    <w:rsid w:val="00BD7E91"/>
    <w:rsid w:val="00BE771D"/>
    <w:rsid w:val="00BF1516"/>
    <w:rsid w:val="00BF374D"/>
    <w:rsid w:val="00C02D0A"/>
    <w:rsid w:val="00C03A6E"/>
    <w:rsid w:val="00C21763"/>
    <w:rsid w:val="00C27ABA"/>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D50C8"/>
    <w:rsid w:val="00CE371D"/>
    <w:rsid w:val="00D02A4D"/>
    <w:rsid w:val="00D03CF3"/>
    <w:rsid w:val="00D05BA4"/>
    <w:rsid w:val="00D21061"/>
    <w:rsid w:val="00D22D39"/>
    <w:rsid w:val="00D316A7"/>
    <w:rsid w:val="00D4108E"/>
    <w:rsid w:val="00D44B3B"/>
    <w:rsid w:val="00D6163D"/>
    <w:rsid w:val="00D63009"/>
    <w:rsid w:val="00D67399"/>
    <w:rsid w:val="00D831A3"/>
    <w:rsid w:val="00D902AD"/>
    <w:rsid w:val="00D9235C"/>
    <w:rsid w:val="00DA6579"/>
    <w:rsid w:val="00DA6AA5"/>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kov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174</TotalTime>
  <Pages>21</Pages>
  <Words>9699</Words>
  <Characters>57225</Characters>
  <Application>Microsoft Office Word</Application>
  <DocSecurity>0</DocSecurity>
  <Lines>476</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18</cp:revision>
  <cp:lastPrinted>2024-04-02T09:24:00Z</cp:lastPrinted>
  <dcterms:created xsi:type="dcterms:W3CDTF">2024-02-16T06:16:00Z</dcterms:created>
  <dcterms:modified xsi:type="dcterms:W3CDTF">2024-04-02T09:55:00Z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